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BOARD OF DIRECTORS MEETING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Tuesday, December17, 2024</w:t>
      </w:r>
    </w:p>
    <w:p>
      <w:pPr>
        <w:pStyle w:val="Body A"/>
        <w:jc w:val="center"/>
      </w:pPr>
      <w:r>
        <w:rPr>
          <w:rtl w:val="0"/>
          <w:lang w:val="en-US"/>
        </w:rPr>
        <w:t>6:30 p.m.</w:t>
      </w:r>
    </w:p>
    <w:p>
      <w:pPr>
        <w:pStyle w:val="Body A"/>
        <w:jc w:val="center"/>
        <w:rPr>
          <w:b w:val="1"/>
          <w:bCs w:val="1"/>
          <w:outline w:val="0"/>
          <w:color w:val="2f5496"/>
          <w:sz w:val="12"/>
          <w:szCs w:val="12"/>
          <w:u w:val="single" w:color="2f5496"/>
          <w:lang w:val="de-DE"/>
          <w14:textFill>
            <w14:solidFill>
              <w14:srgbClr w14:val="2F5496"/>
            </w14:solidFill>
          </w14:textFill>
        </w:rPr>
      </w:pPr>
    </w:p>
    <w:p>
      <w:pPr>
        <w:pStyle w:val="Body A"/>
        <w:jc w:val="center"/>
        <w:rPr>
          <w:b w:val="1"/>
          <w:bCs w:val="1"/>
          <w:outline w:val="0"/>
          <w:color w:val="2f5496"/>
          <w:sz w:val="26"/>
          <w:szCs w:val="26"/>
          <w:u w:val="single" w:color="2f5496"/>
          <w:lang w:val="de-DE"/>
          <w14:textFill>
            <w14:solidFill>
              <w14:srgbClr w14:val="2F5496"/>
            </w14:solidFill>
          </w14:textFill>
        </w:rPr>
      </w:pPr>
      <w:r>
        <w:rPr>
          <w:b w:val="1"/>
          <w:bCs w:val="1"/>
          <w:outline w:val="0"/>
          <w:color w:val="2f5496"/>
          <w:sz w:val="26"/>
          <w:szCs w:val="26"/>
          <w:u w:val="single" w:color="2f5496"/>
          <w:rtl w:val="0"/>
          <w:lang w:val="de-DE"/>
          <w14:textFill>
            <w14:solidFill>
              <w14:srgbClr w14:val="2F5496"/>
            </w14:solidFill>
          </w14:textFill>
        </w:rPr>
        <w:t>Meeting Minutes</w:t>
      </w:r>
    </w:p>
    <w:p>
      <w:pPr>
        <w:pStyle w:val="Body A"/>
        <w:jc w:val="center"/>
        <w:rPr>
          <w:sz w:val="4"/>
          <w:szCs w:val="4"/>
        </w:rPr>
      </w:pPr>
    </w:p>
    <w:p>
      <w:pPr>
        <w:pStyle w:val="Body A"/>
        <w:jc w:val="center"/>
        <w:rPr>
          <w:sz w:val="4"/>
          <w:szCs w:val="4"/>
        </w:rPr>
      </w:pPr>
    </w:p>
    <w:p>
      <w:pPr>
        <w:pStyle w:val="Body A"/>
        <w:jc w:val="center"/>
        <w:rPr>
          <w:sz w:val="4"/>
          <w:szCs w:val="4"/>
        </w:rPr>
      </w:pPr>
    </w:p>
    <w:p>
      <w:pPr>
        <w:pStyle w:val="Body A"/>
        <w:jc w:val="center"/>
        <w:rPr>
          <w:sz w:val="4"/>
          <w:szCs w:val="4"/>
        </w:rPr>
      </w:pPr>
    </w:p>
    <w:p>
      <w:pPr>
        <w:pStyle w:val="Body A"/>
        <w:jc w:val="center"/>
        <w:rPr>
          <w:sz w:val="4"/>
          <w:szCs w:val="4"/>
        </w:rPr>
      </w:pPr>
    </w:p>
    <w:p>
      <w:pPr>
        <w:pStyle w:val="Body A"/>
        <w:jc w:val="center"/>
        <w:rPr>
          <w:sz w:val="4"/>
          <w:szCs w:val="4"/>
        </w:rPr>
      </w:pPr>
    </w:p>
    <w:p>
      <w:pPr>
        <w:pStyle w:val="Body A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I.</w:t>
        <w:tab/>
        <w:t>CALL TO ORDER &amp; ROLL CALL (Proof of Quorum</w:t>
      </w:r>
      <w:r>
        <w:rPr>
          <w:b w:val="1"/>
          <w:bCs w:val="1"/>
          <w:sz w:val="22"/>
          <w:szCs w:val="22"/>
          <w:rtl w:val="0"/>
          <w:lang w:val="en-US"/>
        </w:rPr>
        <w:t xml:space="preserve">) - </w:t>
      </w:r>
      <w:r>
        <w:rPr>
          <w:sz w:val="22"/>
          <w:szCs w:val="22"/>
          <w:rtl w:val="0"/>
          <w:lang w:val="de-DE"/>
        </w:rPr>
        <w:t>6:32pm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II.</w:t>
        <w:tab/>
        <w:t>Kim Hart- Guest Speaker  Updating New Apartments Across from DSHOA</w:t>
      </w: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Good Housing will need approval to work on HOA property to tap into sewer line.  Kim will provide the BOD a plan to fix the disrupted area.</w:t>
      </w:r>
    </w:p>
    <w:p>
      <w:pPr>
        <w:pStyle w:val="Body A"/>
        <w:rPr>
          <w:b w:val="1"/>
          <w:bCs w:val="1"/>
          <w:sz w:val="16"/>
          <w:szCs w:val="16"/>
        </w:rPr>
      </w:pPr>
      <w:r>
        <w:rPr>
          <w:sz w:val="22"/>
          <w:szCs w:val="22"/>
        </w:rPr>
        <w:tab/>
        <w:tab/>
        <w:tab/>
        <w:tab/>
        <w:tab/>
        <w:tab/>
      </w:r>
    </w:p>
    <w:p>
      <w:pPr>
        <w:pStyle w:val="Body A"/>
        <w:ind w:left="1440" w:hanging="144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III.       COMMUNITY DISCUSSION PERIOD </w:t>
      </w:r>
      <w:r>
        <w:rPr>
          <w:sz w:val="22"/>
          <w:szCs w:val="22"/>
          <w:rtl w:val="0"/>
          <w:lang w:val="en-US"/>
        </w:rPr>
        <w:t>(3 Minutes per Speaker)</w:t>
      </w:r>
      <w:bookmarkStart w:name="_Hlk184891131" w:id="0"/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bookmarkEnd w:id="0"/>
    </w:p>
    <w:p>
      <w:pPr>
        <w:pStyle w:val="Body A"/>
        <w:ind w:left="1440" w:hanging="14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No speakers stepped forward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2"/>
          <w:szCs w:val="22"/>
          <w:lang w:val="de-DE"/>
        </w:rPr>
      </w:pPr>
      <w:r>
        <w:rPr>
          <w:b w:val="1"/>
          <w:bCs w:val="1"/>
          <w:sz w:val="22"/>
          <w:szCs w:val="22"/>
          <w:rtl w:val="0"/>
          <w:lang w:val="en-US"/>
        </w:rPr>
        <w:t>IV.</w:t>
      </w:r>
      <w:r>
        <w:rPr>
          <w:sz w:val="22"/>
          <w:szCs w:val="22"/>
          <w:lang w:val="en-US"/>
        </w:rPr>
        <w:tab/>
      </w:r>
      <w:r>
        <w:rPr>
          <w:b w:val="1"/>
          <w:bCs w:val="1"/>
          <w:sz w:val="22"/>
          <w:szCs w:val="22"/>
          <w:rtl w:val="0"/>
          <w:lang w:val="en-US"/>
        </w:rPr>
        <w:t>APPROVAL OF AGENDA</w:t>
      </w:r>
    </w:p>
    <w:p>
      <w:pPr>
        <w:pStyle w:val="Body A"/>
        <w:rPr>
          <w:b w:val="1"/>
          <w:bCs w:val="1"/>
          <w:outline w:val="0"/>
          <w:color w:val="ffffff"/>
          <w:sz w:val="22"/>
          <w:szCs w:val="22"/>
          <w:u w:color="ffffff"/>
          <w14:textFill>
            <w14:solidFill>
              <w14:srgbClr w14:val="FFFFFF"/>
            </w14:solidFill>
          </w14:textFill>
        </w:rPr>
      </w:pPr>
      <w:r>
        <w:rPr>
          <w:sz w:val="22"/>
          <w:szCs w:val="22"/>
          <w:rtl w:val="0"/>
          <w:lang w:val="de-DE"/>
        </w:rPr>
        <w:t>Approved by Mehdi, Seconded by Curtis, approved unanimously.</w:t>
      </w:r>
    </w:p>
    <w:p>
      <w:pPr>
        <w:pStyle w:val="Body A"/>
        <w:rPr>
          <w:b w:val="1"/>
          <w:bCs w:val="1"/>
          <w:outline w:val="0"/>
          <w:color w:val="ffffff"/>
          <w:sz w:val="20"/>
          <w:szCs w:val="20"/>
          <w:u w:color="ffffff"/>
          <w14:textFill>
            <w14:solidFill>
              <w14:srgbClr w14:val="FFFFFF"/>
            </w14:solidFill>
          </w14:textFill>
        </w:rPr>
      </w:pPr>
    </w:p>
    <w:p>
      <w:pPr>
        <w:pStyle w:val="Body A"/>
        <w:rPr>
          <w:sz w:val="22"/>
          <w:szCs w:val="22"/>
          <w:lang w:val="de-DE"/>
        </w:rPr>
      </w:pPr>
      <w:r>
        <w:rPr>
          <w:b w:val="1"/>
          <w:bCs w:val="1"/>
          <w:sz w:val="22"/>
          <w:szCs w:val="22"/>
          <w:rtl w:val="0"/>
          <w:lang w:val="en-US"/>
        </w:rPr>
        <w:t>V.</w:t>
        <w:tab/>
      </w:r>
      <w:bookmarkStart w:name="_Hlk184891272" w:id="1"/>
      <w:r>
        <w:rPr>
          <w:b w:val="1"/>
          <w:bCs w:val="1"/>
          <w:sz w:val="22"/>
          <w:szCs w:val="22"/>
          <w:rtl w:val="0"/>
          <w:lang w:val="en-US"/>
        </w:rPr>
        <w:t xml:space="preserve">APPROVAL OF MINUTES </w:t>
      </w:r>
      <w:r>
        <w:rPr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b w:val="1"/>
          <w:bCs w:val="1"/>
          <w:sz w:val="22"/>
          <w:szCs w:val="22"/>
          <w:rtl w:val="0"/>
          <w:lang w:val="en-US"/>
        </w:rPr>
        <w:t>October 15, 2024 BOD Mtg</w:t>
      </w:r>
      <w:bookmarkEnd w:id="1"/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Approved by Mehdi, Seconded by Donna, approved unanimously.</w:t>
      </w:r>
    </w:p>
    <w:p>
      <w:pPr>
        <w:pStyle w:val="Body A"/>
        <w:rPr>
          <w:sz w:val="22"/>
          <w:szCs w:val="22"/>
          <w:lang w:val="de-DE"/>
        </w:rPr>
      </w:pPr>
    </w:p>
    <w:p>
      <w:pPr>
        <w:pStyle w:val="Body A"/>
      </w:pPr>
      <w:r>
        <w:rPr>
          <w:b w:val="1"/>
          <w:bCs w:val="1"/>
          <w:sz w:val="22"/>
          <w:szCs w:val="22"/>
          <w:rtl w:val="0"/>
          <w:lang w:val="en-US"/>
        </w:rPr>
        <w:t xml:space="preserve">VI.        COMMITTEE REPORTS </w:t>
      </w:r>
    </w:p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A.</w:t>
        <w:tab/>
        <w:t xml:space="preserve"> Architectural Review Committee (ARC)</w:t>
      </w: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Corrected Donna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e-mail address to ensure she received the ARC applications for review.</w:t>
      </w: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B.  Communications Committee</w:t>
      </w: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All meeting minutes have been updated on the website.  Website calendar has been updated with all Clubhouse usage and events.</w:t>
      </w: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C.  Shared Facilities Committee</w:t>
      </w:r>
    </w:p>
    <w:p>
      <w:pPr>
        <w:pStyle w:val="Body A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BOD will work with Dinesh to incorporate gym and Clubhouse applications through the current pool pass system.</w:t>
      </w:r>
    </w:p>
    <w:p>
      <w:pPr>
        <w:pStyle w:val="Body A"/>
        <w:rPr>
          <w:b w:val="1"/>
          <w:bCs w:val="1"/>
          <w:sz w:val="22"/>
          <w:szCs w:val="22"/>
          <w:lang w:val="de-DE"/>
        </w:rPr>
      </w:pPr>
    </w:p>
    <w:p>
      <w:pPr>
        <w:pStyle w:val="Body A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VII.</w:t>
        <w:tab/>
        <w:t>MANAGER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REPORT</w:t>
      </w:r>
    </w:p>
    <w:p>
      <w:pPr>
        <w:pStyle w:val="Body A"/>
        <w:rPr>
          <w:sz w:val="8"/>
          <w:szCs w:val="8"/>
        </w:rPr>
      </w:pPr>
      <w:r>
        <w:rPr>
          <w:sz w:val="16"/>
          <w:szCs w:val="16"/>
        </w:rPr>
        <w:tab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Financial Management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Total Operating Cash was $287,760 against liabilities of $53,675</w:t>
      </w:r>
    </w:p>
    <w:p>
      <w:pPr>
        <w:pStyle w:val="Body"/>
        <w:ind w:left="1140" w:firstLine="0"/>
      </w:pPr>
      <w:r>
        <w:rPr>
          <w:rtl w:val="0"/>
          <w:lang w:val="en-US"/>
        </w:rPr>
        <w:t xml:space="preserve">             of the liability amount, $43,416 represents Prepaid Owner Assessments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Association Investments total $1,842,009.  Reserves are booked at $2,118,652.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As of November 30, 2024, the Association has an un-audited deficit of $36,657 as compared to a budgeted deficit of $28,797.</w:t>
      </w:r>
    </w:p>
    <w:p>
      <w:pPr>
        <w:pStyle w:val="List Paragraph"/>
        <w:ind w:left="1860" w:firstLine="0"/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 xml:space="preserve">2025 Budget </w:t>
      </w:r>
      <w:r>
        <w:rPr>
          <w:b w:val="0"/>
          <w:bCs w:val="0"/>
          <w:rtl w:val="0"/>
          <w:lang w:val="en-US"/>
        </w:rPr>
        <w:t xml:space="preserve">– </w:t>
      </w:r>
      <w:r>
        <w:rPr>
          <w:b w:val="0"/>
          <w:bCs w:val="0"/>
          <w:rtl w:val="0"/>
          <w:lang w:val="en-US"/>
        </w:rPr>
        <w:t>The BoD</w:t>
      </w:r>
      <w:r>
        <w:rPr>
          <w:b w:val="0"/>
          <w:bCs w:val="0"/>
          <w:rtl w:val="0"/>
          <w:lang w:val="en-US"/>
        </w:rPr>
        <w:t xml:space="preserve"> approved the 2025 budget. The 2025 assessment letter and budget was mailed out to all DSHOA Homeowners with dues remaining the same at $110.00</w:t>
      </w:r>
      <w:r>
        <w:rPr>
          <w:b w:val="0"/>
          <w:bCs w:val="0"/>
          <w:rtl w:val="0"/>
          <w:lang w:val="en-US"/>
        </w:rPr>
        <w:t>.</w:t>
      </w:r>
    </w:p>
    <w:p>
      <w:pPr>
        <w:pStyle w:val="List Paragraph"/>
        <w:ind w:left="1080" w:firstLine="0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Contract Services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Management has meet with several contractors over the last month including grounds maintenance, irrigation, tree maintenance, electric and handyman services.</w:t>
      </w:r>
    </w:p>
    <w:p>
      <w:pPr>
        <w:pStyle w:val="List Paragraph"/>
        <w:ind w:left="1080" w:firstLine="0"/>
      </w:pPr>
    </w:p>
    <w:p>
      <w:pPr>
        <w:pStyle w:val="List Paragraph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Ground Maintenance-site walk with contractor fall flowers were installed and second leaf removal is scheduled for December 16th</w:t>
      </w:r>
      <w:r>
        <w:rPr>
          <w:rtl w:val="0"/>
          <w:lang w:val="en-US"/>
        </w:rPr>
        <w:t>.</w:t>
      </w:r>
    </w:p>
    <w:p>
      <w:pPr>
        <w:pStyle w:val="List Paragraph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Tree work trimmed back 2 large Oaks in common area behind 21979 Box Car Square</w:t>
      </w:r>
      <w:r>
        <w:rPr>
          <w:rtl w:val="0"/>
          <w:lang w:val="en-US"/>
        </w:rPr>
        <w:t>.</w:t>
      </w:r>
    </w:p>
    <w:p>
      <w:pPr>
        <w:pStyle w:val="List Paragraph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Site walk 11/27 with Board President Mehdi Kohanbani and Mac, from Rock Water Farm walked the  pond area and the asphalt path behind Baggett Ter.to review lighting opening up a  walking trail around pond.</w:t>
      </w:r>
    </w:p>
    <w:p>
      <w:pPr>
        <w:pStyle w:val="List Paragraph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 xml:space="preserve"> Met with VDOT at SFMC and provided all the documents needed to start new handicap Bus stop ramp.</w:t>
      </w:r>
    </w:p>
    <w:p>
      <w:pPr>
        <w:pStyle w:val="List Paragraph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Met with Full Service to review gutter leaf guards for the new clubhouse gutters</w:t>
      </w:r>
      <w:r>
        <w:rPr>
          <w:rtl w:val="0"/>
          <w:lang w:val="en-US"/>
        </w:rPr>
        <w:t>.</w:t>
      </w:r>
    </w:p>
    <w:p>
      <w:pPr>
        <w:pStyle w:val="List Paragraph"/>
        <w:ind w:left="1080" w:firstLine="0"/>
        <w:rPr>
          <w:b w:val="1"/>
          <w:bCs w:val="1"/>
          <w:sz w:val="20"/>
          <w:szCs w:val="20"/>
          <w:lang w:val="de-DE"/>
        </w:rPr>
      </w:pPr>
    </w:p>
    <w:p>
      <w:pPr>
        <w:pStyle w:val="Body A"/>
        <w:rPr>
          <w:b w:val="1"/>
          <w:bCs w:val="1"/>
          <w:sz w:val="22"/>
          <w:szCs w:val="22"/>
          <w:lang w:val="de-DE"/>
        </w:rPr>
      </w:pPr>
      <w:r>
        <w:rPr>
          <w:b w:val="1"/>
          <w:bCs w:val="1"/>
          <w:sz w:val="22"/>
          <w:szCs w:val="22"/>
          <w:rtl w:val="0"/>
          <w:lang w:val="de-DE"/>
        </w:rPr>
        <w:t>VII.</w:t>
        <w:tab/>
        <w:t>OLD BUSINESS</w:t>
      </w:r>
    </w:p>
    <w:p>
      <w:pPr>
        <w:pStyle w:val="Body A"/>
        <w:bidi w:val="0"/>
        <w:spacing w:line="259" w:lineRule="auto"/>
        <w:ind w:left="0" w:right="0" w:firstLine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en-US"/>
        </w:rPr>
        <w:t>N/A</w:t>
      </w:r>
    </w:p>
    <w:p>
      <w:pPr>
        <w:pStyle w:val="Body A"/>
        <w:spacing w:line="259" w:lineRule="auto"/>
        <w:ind w:left="1080" w:firstLine="0"/>
        <w:rPr>
          <w:sz w:val="22"/>
          <w:szCs w:val="22"/>
        </w:rPr>
      </w:pPr>
    </w:p>
    <w:p>
      <w:pPr>
        <w:pStyle w:val="Body A"/>
        <w:spacing w:line="259" w:lineRule="auto"/>
        <w:rPr>
          <w:b w:val="1"/>
          <w:bCs w:val="1"/>
          <w:sz w:val="22"/>
          <w:szCs w:val="22"/>
          <w:lang w:val="de-DE"/>
        </w:rPr>
      </w:pPr>
      <w:r>
        <w:rPr>
          <w:b w:val="1"/>
          <w:bCs w:val="1"/>
          <w:sz w:val="22"/>
          <w:szCs w:val="22"/>
          <w:rtl w:val="0"/>
          <w:lang w:val="de-DE"/>
        </w:rPr>
        <w:t>VIII.</w:t>
        <w:tab/>
        <w:t>NEW BUSINESS</w:t>
      </w:r>
    </w:p>
    <w:p>
      <w:pPr>
        <w:pStyle w:val="Body A"/>
        <w:numPr>
          <w:ilvl w:val="0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Review updated Parking Resolution</w:t>
      </w:r>
    </w:p>
    <w:p>
      <w:pPr>
        <w:pStyle w:val="Body A"/>
        <w:numPr>
          <w:ilvl w:val="1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 xml:space="preserve">Request was made by Austin for the following; </w:t>
      </w:r>
    </w:p>
    <w:p>
      <w:pPr>
        <w:pStyle w:val="Body A"/>
        <w:numPr>
          <w:ilvl w:val="2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Amount WPP is generating from hosting Dominion Station Parking program</w:t>
      </w:r>
    </w:p>
    <w:p>
      <w:pPr>
        <w:pStyle w:val="Body A"/>
        <w:numPr>
          <w:ilvl w:val="2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Total # of vehicles towed by quarter</w:t>
      </w:r>
    </w:p>
    <w:p>
      <w:pPr>
        <w:pStyle w:val="Body A"/>
        <w:numPr>
          <w:ilvl w:val="2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Reason for towing the vehicles.</w:t>
      </w:r>
    </w:p>
    <w:p>
      <w:pPr>
        <w:pStyle w:val="Body A"/>
        <w:numPr>
          <w:ilvl w:val="2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Number of complaints by residents stating there isn</w:t>
      </w:r>
      <w:r>
        <w:rPr>
          <w:sz w:val="22"/>
          <w:szCs w:val="22"/>
          <w:rtl w:val="0"/>
          <w:lang w:val="de-DE"/>
        </w:rPr>
        <w:t>’</w:t>
      </w:r>
      <w:r>
        <w:rPr>
          <w:sz w:val="22"/>
          <w:szCs w:val="22"/>
          <w:rtl w:val="0"/>
          <w:lang w:val="de-DE"/>
        </w:rPr>
        <w:t>t enough parking</w:t>
      </w:r>
    </w:p>
    <w:p>
      <w:pPr>
        <w:pStyle w:val="Body A"/>
        <w:numPr>
          <w:ilvl w:val="2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Number of abandoned vehicles cited during enforcement by quarter</w:t>
      </w:r>
    </w:p>
    <w:p>
      <w:pPr>
        <w:pStyle w:val="Body A"/>
        <w:numPr>
          <w:ilvl w:val="1"/>
          <w:numId w:val="8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Board agreed to add to the HOA website the following;</w:t>
      </w:r>
    </w:p>
    <w:p>
      <w:pPr>
        <w:pStyle w:val="Body A"/>
        <w:numPr>
          <w:ilvl w:val="2"/>
          <w:numId w:val="8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Total # of vehicles towed by quarter</w:t>
      </w:r>
    </w:p>
    <w:p>
      <w:pPr>
        <w:pStyle w:val="Body A"/>
        <w:numPr>
          <w:ilvl w:val="2"/>
          <w:numId w:val="8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Reason for vehicles being towed from the community</w:t>
      </w:r>
    </w:p>
    <w:p>
      <w:pPr>
        <w:pStyle w:val="Body A"/>
        <w:bidi w:val="0"/>
        <w:spacing w:line="259" w:lineRule="auto"/>
        <w:ind w:left="0" w:right="0" w:firstLine="0"/>
        <w:jc w:val="left"/>
        <w:rPr>
          <w:sz w:val="22"/>
          <w:szCs w:val="22"/>
          <w:rtl w:val="0"/>
          <w:lang w:val="de-DE"/>
        </w:rPr>
      </w:pPr>
    </w:p>
    <w:p>
      <w:pPr>
        <w:pStyle w:val="Body A"/>
        <w:numPr>
          <w:ilvl w:val="0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New Gutters to be installed around the clubhouse by Full Service at the end of this month</w:t>
      </w:r>
      <w:r>
        <w:rPr>
          <w:sz w:val="22"/>
          <w:szCs w:val="22"/>
          <w:rtl w:val="0"/>
          <w:lang w:val="de-DE"/>
        </w:rPr>
        <w:t>.</w:t>
      </w:r>
    </w:p>
    <w:p>
      <w:pPr>
        <w:pStyle w:val="Body A"/>
        <w:numPr>
          <w:ilvl w:val="1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Proposal for gutter covers was approved by Mehdi, seconded by Donna and carried unanimously.</w:t>
      </w:r>
    </w:p>
    <w:p>
      <w:pPr>
        <w:pStyle w:val="Body A"/>
        <w:bidi w:val="0"/>
        <w:spacing w:line="259" w:lineRule="auto"/>
        <w:ind w:left="0" w:right="0" w:firstLine="0"/>
        <w:jc w:val="left"/>
        <w:rPr>
          <w:sz w:val="22"/>
          <w:szCs w:val="22"/>
          <w:rtl w:val="0"/>
          <w:lang w:val="de-DE"/>
        </w:rPr>
      </w:pPr>
    </w:p>
    <w:p>
      <w:pPr>
        <w:pStyle w:val="Body A"/>
        <w:numPr>
          <w:ilvl w:val="0"/>
          <w:numId w:val="7"/>
        </w:numPr>
        <w:bidi w:val="0"/>
        <w:spacing w:line="259" w:lineRule="auto"/>
        <w:ind w:right="0"/>
        <w:jc w:val="left"/>
        <w:rPr>
          <w:sz w:val="22"/>
          <w:szCs w:val="22"/>
          <w:rtl w:val="0"/>
          <w:lang w:val="de-DE"/>
        </w:rPr>
      </w:pPr>
      <w:r>
        <w:rPr>
          <w:sz w:val="22"/>
          <w:szCs w:val="22"/>
          <w:rtl w:val="0"/>
          <w:lang w:val="de-DE"/>
        </w:rPr>
        <w:t>Replacing the old ground lights on asphalt trail by pond and along asphalt trail behind Baggett Ter.</w:t>
      </w:r>
    </w:p>
    <w:p>
      <w:pPr>
        <w:pStyle w:val="Body A"/>
        <w:spacing w:line="259" w:lineRule="auto"/>
        <w:ind w:left="1080" w:firstLine="0"/>
        <w:rPr>
          <w:sz w:val="22"/>
          <w:szCs w:val="22"/>
          <w:lang w:val="de-DE"/>
        </w:rPr>
      </w:pPr>
    </w:p>
    <w:p>
      <w:pPr>
        <w:pStyle w:val="Body A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IX.</w:t>
        <w:tab/>
        <w:t>ADJOURN INTO EXECUTIVE SESSION</w:t>
      </w:r>
      <w:r>
        <w:rPr>
          <w:b w:val="1"/>
          <w:bCs w:val="1"/>
          <w:sz w:val="22"/>
          <w:szCs w:val="22"/>
          <w:rtl w:val="0"/>
          <w:lang w:val="en-US"/>
        </w:rPr>
        <w:t xml:space="preserve"> - </w:t>
      </w:r>
      <w:r>
        <w:rPr>
          <w:sz w:val="22"/>
          <w:szCs w:val="22"/>
          <w:rtl w:val="0"/>
          <w:lang w:val="en-US"/>
        </w:rPr>
        <w:t>7:45pm</w:t>
      </w:r>
    </w:p>
    <w:p>
      <w:pPr>
        <w:pStyle w:val="Body A"/>
        <w:spacing w:line="259" w:lineRule="auto"/>
        <w:rPr>
          <w:sz w:val="20"/>
          <w:szCs w:val="20"/>
        </w:rPr>
      </w:pPr>
    </w:p>
    <w:p>
      <w:pPr>
        <w:pStyle w:val="Body A"/>
        <w:spacing w:line="259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X.</w:t>
        <w:tab/>
        <w:t>EXECUTIVE SESSION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Review of Delinquency Report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Legal Collections Review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Review 2025 Board Meeting Dates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GYM Applications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Proposals</w:t>
      </w:r>
    </w:p>
    <w:p>
      <w:pPr>
        <w:pStyle w:val="Body A"/>
        <w:ind w:left="1080" w:firstLine="0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2"/>
          <w:szCs w:val="22"/>
          <w:lang w:val="de-DE"/>
        </w:rPr>
      </w:pPr>
      <w:r>
        <w:rPr>
          <w:b w:val="1"/>
          <w:bCs w:val="1"/>
          <w:sz w:val="22"/>
          <w:szCs w:val="22"/>
          <w:rtl w:val="0"/>
          <w:lang w:val="de-DE"/>
        </w:rPr>
        <w:t>XI.</w:t>
        <w:tab/>
        <w:t>ADJOURN EXECUTIVE SESSION</w:t>
      </w:r>
      <w:r>
        <w:rPr>
          <w:b w:val="1"/>
          <w:bCs w:val="1"/>
          <w:sz w:val="22"/>
          <w:szCs w:val="22"/>
          <w:rtl w:val="0"/>
          <w:lang w:val="de-DE"/>
        </w:rPr>
        <w:t xml:space="preserve"> - </w:t>
      </w:r>
      <w:r>
        <w:rPr>
          <w:sz w:val="22"/>
          <w:szCs w:val="22"/>
          <w:rtl w:val="0"/>
          <w:lang w:val="en-US"/>
        </w:rPr>
        <w:t>8:12pm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2"/>
          <w:szCs w:val="22"/>
          <w:lang w:val="de-DE"/>
        </w:rPr>
      </w:pPr>
      <w:r>
        <w:rPr>
          <w:b w:val="1"/>
          <w:bCs w:val="1"/>
          <w:sz w:val="22"/>
          <w:szCs w:val="22"/>
          <w:rtl w:val="0"/>
          <w:lang w:val="de-DE"/>
        </w:rPr>
        <w:t>XII.</w:t>
        <w:tab/>
        <w:t>RECONVENE OPEN SESSION</w:t>
      </w:r>
    </w:p>
    <w:p>
      <w:pPr>
        <w:pStyle w:val="Body A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ab/>
        <w:t>Motion made by Mehdi, seconded by Donna to reject request for $3,200 assessment waiver, carried unanimously.</w:t>
      </w:r>
    </w:p>
    <w:p>
      <w:pPr>
        <w:pStyle w:val="Body A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ab/>
        <w:t>Motion made by Donna, seconded by Curtis to approve $754/month payment plan, carried unanimously.</w:t>
      </w:r>
    </w:p>
    <w:p>
      <w:pPr>
        <w:pStyle w:val="Body A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ab/>
        <w:t>Motion made by Mehdi, seconded by Curtis to approve 2025 Board Meeting Dates, carried unanimously.  Dates will be added to FB &amp; HOA website.</w:t>
      </w:r>
    </w:p>
    <w:p>
      <w:pPr>
        <w:pStyle w:val="Body A"/>
        <w:rPr>
          <w:b w:val="1"/>
          <w:bCs w:val="1"/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ab/>
        <w:t>Motion made by Mehdi, seconded by Curtis to appoint Christian Jatras to an at-large position on the BoD for 2025, carried unanimously.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2"/>
          <w:szCs w:val="22"/>
          <w:lang w:val="de-DE"/>
        </w:rPr>
      </w:pPr>
      <w:r>
        <w:rPr>
          <w:b w:val="1"/>
          <w:bCs w:val="1"/>
          <w:sz w:val="22"/>
          <w:szCs w:val="22"/>
          <w:rtl w:val="0"/>
          <w:lang w:val="de-DE"/>
        </w:rPr>
        <w:t>XII.</w:t>
        <w:tab/>
        <w:t>ADJOURN</w:t>
      </w:r>
      <w:r>
        <w:rPr>
          <w:b w:val="1"/>
          <w:bCs w:val="1"/>
          <w:sz w:val="22"/>
          <w:szCs w:val="22"/>
          <w:rtl w:val="0"/>
          <w:lang w:val="de-DE"/>
        </w:rPr>
        <w:t xml:space="preserve"> - </w:t>
      </w:r>
      <w:r>
        <w:rPr>
          <w:sz w:val="22"/>
          <w:szCs w:val="22"/>
          <w:rtl w:val="0"/>
          <w:lang w:val="en-US"/>
        </w:rPr>
        <w:t>8:17pm</w:t>
      </w:r>
    </w:p>
    <w:p>
      <w:pPr>
        <w:pStyle w:val="Body A"/>
        <w:rPr>
          <w:b w:val="1"/>
          <w:bCs w:val="1"/>
          <w:sz w:val="4"/>
          <w:szCs w:val="4"/>
        </w:rPr>
      </w:pPr>
      <w:r>
        <w:rPr>
          <w:b w:val="1"/>
          <w:bCs w:val="1"/>
          <w:sz w:val="22"/>
          <w:szCs w:val="22"/>
          <w:rtl w:val="0"/>
          <w:lang w:val="en-US"/>
        </w:rPr>
        <w:t>---------------------------------------------------------------------------------------------------------------------------------------------------</w:t>
      </w:r>
    </w:p>
    <w:p>
      <w:pPr>
        <w:pStyle w:val="Body A"/>
        <w:ind w:left="1440" w:hanging="1440"/>
        <w:rPr>
          <w:sz w:val="22"/>
          <w:szCs w:val="22"/>
          <w:lang w:val="de-DE"/>
        </w:rPr>
      </w:pPr>
      <w:r>
        <w:rPr>
          <w:b w:val="1"/>
          <w:bCs w:val="1"/>
          <w:rtl w:val="0"/>
          <w:lang w:val="en-US"/>
        </w:rPr>
        <w:t>Attendees</w:t>
      </w:r>
      <w:r>
        <w:rPr>
          <w:b w:val="1"/>
          <w:bCs w:val="1"/>
          <w:sz w:val="22"/>
          <w:szCs w:val="22"/>
          <w:rtl w:val="0"/>
          <w:lang w:val="en-US"/>
        </w:rPr>
        <w:t>:</w:t>
        <w:tab/>
      </w:r>
      <w:r>
        <w:rPr>
          <w:sz w:val="22"/>
          <w:szCs w:val="22"/>
          <w:rtl w:val="0"/>
          <w:lang w:val="de-DE"/>
        </w:rPr>
        <w:t xml:space="preserve">Mehdi Kohanbani; </w:t>
      </w:r>
      <w:r>
        <w:rPr>
          <w:sz w:val="22"/>
          <w:szCs w:val="22"/>
          <w:rtl w:val="0"/>
          <w:lang w:val="de-DE"/>
        </w:rPr>
        <w:t xml:space="preserve">Curtis White, </w:t>
      </w:r>
      <w:r>
        <w:rPr>
          <w:sz w:val="22"/>
          <w:szCs w:val="22"/>
          <w:rtl w:val="0"/>
          <w:lang w:val="de-DE"/>
        </w:rPr>
        <w:t>Donna Gottenkieny, Christina Jatras</w:t>
      </w:r>
      <w:r>
        <w:rPr>
          <w:sz w:val="22"/>
          <w:szCs w:val="22"/>
          <w:rtl w:val="0"/>
          <w:lang w:val="de-DE"/>
        </w:rPr>
        <w:t>, Frank Martin</w:t>
      </w:r>
    </w:p>
    <w:p>
      <w:pPr>
        <w:pStyle w:val="Body A"/>
        <w:ind w:left="1440" w:hanging="1440"/>
      </w:pPr>
      <w:r>
        <w:rPr>
          <w:b w:val="1"/>
          <w:bCs w:val="1"/>
          <w:sz w:val="22"/>
          <w:szCs w:val="22"/>
          <w:rtl w:val="0"/>
          <w:lang w:val="de-DE"/>
        </w:rPr>
        <w:t xml:space="preserve">Prepared by:  </w:t>
      </w:r>
      <w:r>
        <w:rPr>
          <w:sz w:val="22"/>
          <w:szCs w:val="22"/>
          <w:rtl w:val="0"/>
          <w:lang w:val="de-DE"/>
        </w:rPr>
        <w:t>Mehdi A. Kohanbani, President</w:t>
      </w:r>
      <w:bookmarkStart w:name="_Hlk184891084" w:id="2"/>
    </w:p>
    <w:sectPr>
      <w:headerReference w:type="default" r:id="rId4"/>
      <w:footerReference w:type="default" r:id="rId5"/>
      <w:pgSz w:w="12240" w:h="15840" w:orient="portrait"/>
      <w:pgMar w:top="360" w:right="720" w:bottom="360" w:left="72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Imprint MT Shadow">
    <w:charset w:val="00"/>
    <w:family w:val="roman"/>
    <w:pitch w:val="default"/>
  </w:font>
  <w:font w:name="Walbaum Display SemiBold">
    <w:charset w:val="00"/>
    <w:family w:val="roman"/>
    <w:pitch w:val="default"/>
  </w:font>
  <w:font w:name="Bembo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Walbaum Display SemiBold" w:cs="Walbaum Display SemiBold" w:hAnsi="Walbaum Display SemiBold" w:eastAsia="Walbaum Display SemiBold"/>
        <w:outline w:val="0"/>
        <w:color w:val="3770af"/>
        <w:sz w:val="4"/>
        <w:szCs w:val="4"/>
        <w:u w:color="3770af"/>
        <w14:textFill>
          <w14:solidFill>
            <w14:srgbClr w14:val="3770AF"/>
          </w14:solidFill>
        </w14:textFill>
      </w:rPr>
    </w:pPr>
    <w:r>
      <w:rPr>
        <w:rFonts w:ascii="Imprint MT Shadow" w:cs="Imprint MT Shadow" w:hAnsi="Imprint MT Shadow" w:eastAsia="Imprint MT Shadow"/>
        <w:outline w:val="0"/>
        <w:color w:val="ac0000"/>
        <w:sz w:val="4"/>
        <w:szCs w:val="4"/>
        <w:u w:color="ac0000"/>
        <w14:textFill>
          <w14:solidFill>
            <w14:srgbClr w14:val="AC0000"/>
          </w14:solidFill>
        </w14:textFill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1079181</wp:posOffset>
              </wp:positionH>
              <wp:positionV relativeFrom="page">
                <wp:posOffset>933449</wp:posOffset>
              </wp:positionV>
              <wp:extent cx="5614037" cy="675641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4037" cy="67564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header"/>
                            <w:jc w:val="center"/>
                          </w:pPr>
                          <w:r>
                            <w:rPr>
                              <w:rFonts w:ascii="Bembo" w:cs="Bembo" w:hAnsi="Bembo" w:eastAsia="Bembo"/>
                              <w:outline w:val="0"/>
                              <w:color w:val="3770af"/>
                              <w:sz w:val="36"/>
                              <w:szCs w:val="36"/>
                              <w:u w:color="3770af"/>
                              <w:rtl w:val="0"/>
                              <w:lang w:val="en-US"/>
                              <w14:textFill>
                                <w14:solidFill>
                                  <w14:srgbClr w14:val="3770AF"/>
                                </w14:solidFill>
                              </w14:textFill>
                            </w:rPr>
                            <w:t>HOMEOWNERS ASSOCIATION, INC.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85.0pt;margin-top:73.5pt;width:442.1pt;height:53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jc w:val="center"/>
                    </w:pPr>
                    <w:r>
                      <w:rPr>
                        <w:rFonts w:ascii="Bembo" w:cs="Bembo" w:hAnsi="Bembo" w:eastAsia="Bembo"/>
                        <w:outline w:val="0"/>
                        <w:color w:val="3770af"/>
                        <w:sz w:val="36"/>
                        <w:szCs w:val="36"/>
                        <w:u w:color="3770af"/>
                        <w:rtl w:val="0"/>
                        <w:lang w:val="en-US"/>
                        <w14:textFill>
                          <w14:solidFill>
                            <w14:srgbClr w14:val="3770AF"/>
                          </w14:solidFill>
                        </w14:textFill>
                      </w:rPr>
                      <w:t>HOMEOWNERS ASSOCIATION, INC.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Imprint MT Shadow" w:cs="Imprint MT Shadow" w:hAnsi="Imprint MT Shadow" w:eastAsia="Imprint MT Shadow"/>
        <w:outline w:val="0"/>
        <w:color w:val="3770af"/>
        <w:sz w:val="120"/>
        <w:szCs w:val="120"/>
        <w:u w:color="3770af"/>
        <w:rtl w:val="0"/>
        <w:lang w:val="en-US"/>
        <w14:textFill>
          <w14:solidFill>
            <w14:srgbClr w14:val="3770AF"/>
          </w14:solidFill>
        </w14:textFill>
      </w:rPr>
      <w:t>D</w:t>
    </w:r>
    <w:r>
      <w:rPr>
        <w:rFonts w:ascii="Imprint MT Shadow" w:cs="Imprint MT Shadow" w:hAnsi="Imprint MT Shadow" w:eastAsia="Imprint MT Shadow"/>
        <w:outline w:val="0"/>
        <w:color w:val="3770af"/>
        <w:sz w:val="80"/>
        <w:szCs w:val="80"/>
        <w:u w:color="3770af"/>
        <w:rtl w:val="0"/>
        <w:lang w:val="en-US"/>
        <w14:textFill>
          <w14:solidFill>
            <w14:srgbClr w14:val="3770AF"/>
          </w14:solidFill>
        </w14:textFill>
      </w:rPr>
      <w:t>OMINION</w:t>
    </w:r>
    <w:r>
      <w:rPr>
        <w:rFonts w:ascii="Walbaum Display SemiBold" w:cs="Walbaum Display SemiBold" w:hAnsi="Walbaum Display SemiBold" w:eastAsia="Walbaum Display SemiBold"/>
        <w:outline w:val="0"/>
        <w:color w:val="3770af"/>
        <w:sz w:val="80"/>
        <w:szCs w:val="80"/>
        <w:u w:color="3770af"/>
        <w:rtl w:val="0"/>
        <w:lang w:val="en-US"/>
        <w14:textFill>
          <w14:solidFill>
            <w14:srgbClr w14:val="3770AF"/>
          </w14:solidFill>
        </w14:textFill>
      </w:rPr>
      <w:t xml:space="preserve"> </w:t>
    </w:r>
    <w:r>
      <w:rPr>
        <w:rFonts w:ascii="Imprint MT Shadow" w:cs="Imprint MT Shadow" w:hAnsi="Imprint MT Shadow" w:eastAsia="Imprint MT Shadow"/>
        <w:outline w:val="0"/>
        <w:color w:val="3770af"/>
        <w:sz w:val="120"/>
        <w:szCs w:val="120"/>
        <w:u w:color="3770af"/>
        <w:rtl w:val="0"/>
        <w:lang w:val="en-US"/>
        <w14:textFill>
          <w14:solidFill>
            <w14:srgbClr w14:val="3770AF"/>
          </w14:solidFill>
        </w14:textFill>
      </w:rPr>
      <w:t>S</w:t>
    </w:r>
    <w:r>
      <w:rPr>
        <w:rFonts w:ascii="Imprint MT Shadow" w:cs="Imprint MT Shadow" w:hAnsi="Imprint MT Shadow" w:eastAsia="Imprint MT Shadow"/>
        <w:outline w:val="0"/>
        <w:color w:val="3770af"/>
        <w:sz w:val="80"/>
        <w:szCs w:val="80"/>
        <w:u w:color="3770af"/>
        <w:rtl w:val="0"/>
        <w:lang w:val="en-US"/>
        <w14:textFill>
          <w14:solidFill>
            <w14:srgbClr w14:val="3770AF"/>
          </w14:solidFill>
        </w14:textFill>
      </w:rPr>
      <w:t>TATION</w:t>
    </w:r>
  </w:p>
  <w:p>
    <w:pPr>
      <w:pStyle w:val="header"/>
      <w:jc w:val="center"/>
    </w:pPr>
    <w:r>
      <w:rPr>
        <w:rFonts w:ascii="Imprint MT Shadow" w:cs="Imprint MT Shadow" w:hAnsi="Imprint MT Shadow" w:eastAsia="Imprint MT Shadow"/>
        <w:outline w:val="0"/>
        <w:color w:val="ac0000"/>
        <w:sz w:val="4"/>
        <w:szCs w:val="4"/>
        <w:u w:color="ac0000"/>
        <w14:textFill>
          <w14:solidFill>
            <w14:srgbClr w14:val="AC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upperLetter"/>
      <w:suff w:val="tab"/>
      <w:lvlText w:val="%1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252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1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upp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upperLetter"/>
        <w:suff w:val="tab"/>
        <w:lvlText w:val="%1."/>
        <w:lvlJc w:val="left"/>
        <w:pPr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